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0FBF" w14:textId="79C8A88D" w:rsidR="00E5605D" w:rsidRPr="000D1CDF" w:rsidRDefault="005753E8">
      <w:pPr>
        <w:rPr>
          <w:b/>
        </w:rPr>
      </w:pPr>
      <w:r>
        <w:rPr>
          <w:b/>
        </w:rPr>
        <w:t xml:space="preserve">Praxisbeispiel </w:t>
      </w:r>
      <w:r w:rsidR="008F244D" w:rsidRPr="000D1CDF">
        <w:rPr>
          <w:b/>
        </w:rPr>
        <w:t>Risikobasiertes Test</w:t>
      </w:r>
      <w:r w:rsidR="00CC422F" w:rsidRPr="000D1CDF">
        <w:rPr>
          <w:b/>
        </w:rPr>
        <w:t>en</w:t>
      </w:r>
      <w:r>
        <w:rPr>
          <w:b/>
        </w:rPr>
        <w:t xml:space="preserve"> aus einem BVA</w:t>
      </w:r>
      <w:r w:rsidR="003C6796">
        <w:rPr>
          <w:b/>
        </w:rPr>
        <w:t>-</w:t>
      </w:r>
      <w:r>
        <w:rPr>
          <w:b/>
        </w:rPr>
        <w:t>Projekt</w:t>
      </w:r>
    </w:p>
    <w:p w14:paraId="47A5D140" w14:textId="77777777" w:rsidR="00746F03" w:rsidRDefault="00746F03"/>
    <w:p w14:paraId="1A7203EA" w14:textId="503C3A28" w:rsidR="00D02AE2" w:rsidRPr="000D1CDF" w:rsidRDefault="005753E8">
      <w:pPr>
        <w:rPr>
          <w:i/>
          <w:u w:val="single"/>
        </w:rPr>
      </w:pPr>
      <w:r>
        <w:rPr>
          <w:i/>
          <w:u w:val="single"/>
        </w:rPr>
        <w:t xml:space="preserve">Rahmenbedingungen Praxisbeispiel </w:t>
      </w:r>
      <w:r w:rsidR="003C6796">
        <w:rPr>
          <w:i/>
          <w:u w:val="single"/>
        </w:rPr>
        <w:t>BVA-</w:t>
      </w:r>
      <w:r>
        <w:rPr>
          <w:i/>
          <w:u w:val="single"/>
        </w:rPr>
        <w:t xml:space="preserve">Projekt </w:t>
      </w:r>
    </w:p>
    <w:p w14:paraId="406F48A8" w14:textId="77777777" w:rsidR="00D02AE2" w:rsidRDefault="00D02AE2"/>
    <w:p w14:paraId="34E8F1F3" w14:textId="4D0F5280" w:rsidR="004D57A7" w:rsidRDefault="005753E8" w:rsidP="00C82D03">
      <w:r>
        <w:t xml:space="preserve">Es handelte sich </w:t>
      </w:r>
      <w:r w:rsidR="007D25CE">
        <w:t xml:space="preserve">bei dem Beispiel </w:t>
      </w:r>
      <w:r>
        <w:t>um ein Software</w:t>
      </w:r>
      <w:r w:rsidR="001B5FCE">
        <w:t>entwicklungs</w:t>
      </w:r>
      <w:r>
        <w:t>projekt, welches in aufeinanderfolgenden Projektstufen über mehrere Jahre umgesetzt wurde</w:t>
      </w:r>
      <w:r w:rsidR="001833B7">
        <w:t>.</w:t>
      </w:r>
      <w:r>
        <w:t xml:space="preserve"> </w:t>
      </w:r>
      <w:r w:rsidR="001B5FCE">
        <w:t xml:space="preserve">Die Disziplinen </w:t>
      </w:r>
      <w:r>
        <w:t xml:space="preserve">Entwicklung, Test und Betrieb wurden separat von </w:t>
      </w:r>
      <w:r w:rsidR="001B5FCE">
        <w:t>verschiedenen</w:t>
      </w:r>
      <w:r>
        <w:t xml:space="preserve"> Dienstleistern durchgeführt. Während der ersten vier Projektstufen wurde klassisch nach V-Modell vorgegangen und die abschließende fünfte Stufe in einer agilen Vorgehensweise. </w:t>
      </w:r>
    </w:p>
    <w:p w14:paraId="43E2E537" w14:textId="72805B06" w:rsidR="004D57A7" w:rsidRDefault="004D57A7" w:rsidP="00C82D03"/>
    <w:p w14:paraId="4130F289" w14:textId="633961A0" w:rsidR="004D57A7" w:rsidRDefault="004D57A7" w:rsidP="00C82D03">
      <w:r>
        <w:t xml:space="preserve">Ein bestehendes monolithisches Altsystem für den Fachbereich mit </w:t>
      </w:r>
      <w:r w:rsidR="001B5FCE">
        <w:t xml:space="preserve">ca. </w:t>
      </w:r>
      <w:r>
        <w:t xml:space="preserve">100 Mitarbeitenden </w:t>
      </w:r>
      <w:r w:rsidR="002A2ADB">
        <w:t xml:space="preserve">und insgesamt über 2000 Nutzenden </w:t>
      </w:r>
      <w:r>
        <w:t xml:space="preserve">wurde sukzessive ersetzt durch eine modernisierte und fachlich erweiterte Anwendungslandschaft. </w:t>
      </w:r>
    </w:p>
    <w:p w14:paraId="1C0FE98B" w14:textId="77777777" w:rsidR="004D57A7" w:rsidRDefault="004D57A7" w:rsidP="00C82D03"/>
    <w:p w14:paraId="5230510F" w14:textId="453CA9AB" w:rsidR="003E3D9D" w:rsidRDefault="005753E8" w:rsidP="00C82D03">
      <w:r>
        <w:t xml:space="preserve">Dieses Dokument beschreibt die </w:t>
      </w:r>
      <w:r w:rsidR="00F56AD2">
        <w:t xml:space="preserve">praktische </w:t>
      </w:r>
      <w:r w:rsidR="001B5FCE">
        <w:t>Umsetzung</w:t>
      </w:r>
      <w:r>
        <w:t xml:space="preserve"> </w:t>
      </w:r>
      <w:r w:rsidR="001B5FCE">
        <w:t>eines</w:t>
      </w:r>
      <w:r>
        <w:t xml:space="preserve"> </w:t>
      </w:r>
      <w:r w:rsidR="001B5FCE">
        <w:t>r</w:t>
      </w:r>
      <w:r>
        <w:t>isikobasierten Test</w:t>
      </w:r>
      <w:r w:rsidR="001B5FCE">
        <w:t>ansatzes</w:t>
      </w:r>
      <w:r>
        <w:t xml:space="preserve"> während der ersten Stufen, welche</w:t>
      </w:r>
      <w:r w:rsidR="001B5FCE">
        <w:t>r</w:t>
      </w:r>
      <w:r>
        <w:t xml:space="preserve"> in der </w:t>
      </w:r>
      <w:r w:rsidR="00D71521">
        <w:t xml:space="preserve">folgenden </w:t>
      </w:r>
      <w:r>
        <w:t>agilen Herangehensweise angepasst und optimiert wurde.</w:t>
      </w:r>
      <w:r w:rsidR="001833B7">
        <w:t xml:space="preserve"> </w:t>
      </w:r>
    </w:p>
    <w:p w14:paraId="400386B2" w14:textId="62533C98" w:rsidR="00D71521" w:rsidRDefault="00D71521" w:rsidP="00C82D03"/>
    <w:p w14:paraId="2E487C92" w14:textId="4BD7A60C" w:rsidR="00D71521" w:rsidRDefault="00D71521" w:rsidP="00C82D03">
      <w:pPr>
        <w:rPr>
          <w:i/>
          <w:u w:val="single"/>
        </w:rPr>
      </w:pPr>
      <w:r w:rsidRPr="00D71521">
        <w:rPr>
          <w:i/>
          <w:u w:val="single"/>
        </w:rPr>
        <w:t>Risikoanalyse</w:t>
      </w:r>
      <w:r w:rsidR="000C4CD9">
        <w:rPr>
          <w:i/>
          <w:u w:val="single"/>
        </w:rPr>
        <w:t xml:space="preserve"> der Anwendungsfälle</w:t>
      </w:r>
    </w:p>
    <w:p w14:paraId="2D8CA1B9" w14:textId="07250436" w:rsidR="00D71521" w:rsidRDefault="00D71521" w:rsidP="00C82D03"/>
    <w:p w14:paraId="321F4277" w14:textId="056CD09E" w:rsidR="00D71521" w:rsidRDefault="004D57A7" w:rsidP="00C82D03">
      <w:r>
        <w:t xml:space="preserve">Als Grundlage für die Risikoanalyse dienten die anfangs im Projekt gemeinsam mit dem Fachbereich </w:t>
      </w:r>
      <w:r w:rsidR="002A2ADB">
        <w:t xml:space="preserve">für die Entwicklungsstufe </w:t>
      </w:r>
      <w:r>
        <w:t xml:space="preserve">festgelegten Anwendungsfälle und deren Abläufe. </w:t>
      </w:r>
      <w:r w:rsidR="00D71521">
        <w:t xml:space="preserve">Anhand der Ermittlung der fachlichen Wichtigkeit sowie der fachlichen und technischen Komplexität der Anwendungsfälle sollten kritische </w:t>
      </w:r>
      <w:r w:rsidR="00B974BE">
        <w:t>Testob</w:t>
      </w:r>
      <w:r w:rsidR="00D71521">
        <w:t xml:space="preserve">jekte </w:t>
      </w:r>
      <w:r w:rsidR="00865499">
        <w:t>identifiziert</w:t>
      </w:r>
      <w:r w:rsidR="00D71521">
        <w:t xml:space="preserve"> werden</w:t>
      </w:r>
      <w:r w:rsidR="00B974BE">
        <w:t>.</w:t>
      </w:r>
      <w:r w:rsidR="00D71521">
        <w:t xml:space="preserve"> </w:t>
      </w:r>
    </w:p>
    <w:p w14:paraId="71C2CC10" w14:textId="235773A7" w:rsidR="00F63790" w:rsidRDefault="00F63790" w:rsidP="00C82D03"/>
    <w:p w14:paraId="6CFCA21C" w14:textId="1760D8A0" w:rsidR="00F63790" w:rsidRDefault="00F63790" w:rsidP="00C82D03">
      <w:r>
        <w:t xml:space="preserve">Die </w:t>
      </w:r>
      <w:r w:rsidR="00F56AD2">
        <w:t xml:space="preserve">Kategorien zur </w:t>
      </w:r>
      <w:r>
        <w:t xml:space="preserve">Einteilung der Komplexität und der Wichtigkeit </w:t>
      </w:r>
      <w:r w:rsidR="00B4440F">
        <w:t xml:space="preserve">von Anwendungsfällen </w:t>
      </w:r>
      <w:r w:rsidR="00F56AD2">
        <w:t>waren</w:t>
      </w:r>
      <w:r>
        <w:t xml:space="preserve"> gering, mittel und hoch.</w:t>
      </w:r>
      <w:r w:rsidR="00157A8C">
        <w:t xml:space="preserve"> Die Ermittlung der Risikoklassen </w:t>
      </w:r>
      <w:r w:rsidR="00F56AD2">
        <w:t>erfolgte anhand des</w:t>
      </w:r>
      <w:r w:rsidR="00157A8C">
        <w:t xml:space="preserve"> folgende</w:t>
      </w:r>
      <w:r w:rsidR="00F56AD2">
        <w:t xml:space="preserve">n </w:t>
      </w:r>
      <w:r w:rsidR="00157A8C">
        <w:t>Schema</w:t>
      </w:r>
      <w:r w:rsidR="00F56AD2">
        <w:t>s</w:t>
      </w:r>
      <w:r w:rsidR="00157A8C">
        <w:t>:</w:t>
      </w:r>
    </w:p>
    <w:p w14:paraId="0FED4150" w14:textId="1BEF5A34" w:rsidR="002B3648" w:rsidRDefault="002B3648" w:rsidP="00C82D03"/>
    <w:p w14:paraId="486442F3" w14:textId="17B6724A" w:rsidR="002B3648" w:rsidRDefault="00B4440F" w:rsidP="00C82D03">
      <w:r>
        <w:rPr>
          <w:noProof/>
        </w:rPr>
        <w:drawing>
          <wp:inline distT="0" distB="0" distL="0" distR="0" wp14:anchorId="3E3EDCC6" wp14:editId="0EC96789">
            <wp:extent cx="3524250" cy="2606908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18" cy="261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3675" w14:textId="5974FB79" w:rsidR="00157A8C" w:rsidRDefault="00157A8C" w:rsidP="00C82D03"/>
    <w:p w14:paraId="347FA410" w14:textId="25B01288" w:rsidR="00157A8C" w:rsidRDefault="00157A8C" w:rsidP="00C82D03">
      <w:r>
        <w:t>Auf Basis dieser Einteilung erg</w:t>
      </w:r>
      <w:r w:rsidR="002A2ADB">
        <w:t>a</w:t>
      </w:r>
      <w:r>
        <w:t>ben sich schließlich die Risikoklassen der Anwendungsfälle:</w:t>
      </w:r>
    </w:p>
    <w:p w14:paraId="568CD5F1" w14:textId="77777777" w:rsidR="00157A8C" w:rsidRDefault="00157A8C" w:rsidP="00C82D03"/>
    <w:p w14:paraId="77E02A0B" w14:textId="2BD81C39" w:rsidR="00157A8C" w:rsidRDefault="00157A8C" w:rsidP="00157A8C">
      <w:pPr>
        <w:pStyle w:val="Listenabsatz"/>
        <w:numPr>
          <w:ilvl w:val="0"/>
          <w:numId w:val="21"/>
        </w:numPr>
      </w:pPr>
      <w:r>
        <w:t>Klasse A: kritisches Risiko</w:t>
      </w:r>
      <w:r>
        <w:tab/>
        <w:t>(JIRA Stufe „kritisch“)</w:t>
      </w:r>
    </w:p>
    <w:p w14:paraId="4139562F" w14:textId="4B763884" w:rsidR="00157A8C" w:rsidRDefault="00157A8C" w:rsidP="00157A8C">
      <w:pPr>
        <w:pStyle w:val="Listenabsatz"/>
        <w:numPr>
          <w:ilvl w:val="0"/>
          <w:numId w:val="21"/>
        </w:numPr>
      </w:pPr>
      <w:r>
        <w:t>Klasse B: mittleres Risiko</w:t>
      </w:r>
      <w:r>
        <w:tab/>
        <w:t>(JIRA Stufe „schwer“)</w:t>
      </w:r>
    </w:p>
    <w:p w14:paraId="63C01AC8" w14:textId="228C04E1" w:rsidR="00157A8C" w:rsidRPr="00D71521" w:rsidRDefault="00157A8C" w:rsidP="00157A8C">
      <w:pPr>
        <w:pStyle w:val="Listenabsatz"/>
        <w:numPr>
          <w:ilvl w:val="0"/>
          <w:numId w:val="21"/>
        </w:numPr>
      </w:pPr>
      <w:r>
        <w:t>Klasse C: geringes Risiko</w:t>
      </w:r>
      <w:r>
        <w:tab/>
        <w:t>(JIRA Stufe „unwesentlich“)</w:t>
      </w:r>
    </w:p>
    <w:p w14:paraId="30DEEE96" w14:textId="77777777" w:rsidR="00C82D03" w:rsidRDefault="00C82D03" w:rsidP="00C82D03"/>
    <w:p w14:paraId="6C96836E" w14:textId="238D8D0F" w:rsidR="00B41870" w:rsidRDefault="009218D1" w:rsidP="00B41870">
      <w:pPr>
        <w:rPr>
          <w:i/>
          <w:u w:val="single"/>
        </w:rPr>
      </w:pPr>
      <w:r>
        <w:rPr>
          <w:i/>
          <w:u w:val="single"/>
        </w:rPr>
        <w:t xml:space="preserve">Festlegung der konkreten </w:t>
      </w:r>
      <w:r w:rsidR="00B41870" w:rsidRPr="00D71521">
        <w:rPr>
          <w:i/>
          <w:u w:val="single"/>
        </w:rPr>
        <w:t>Risiko</w:t>
      </w:r>
      <w:r w:rsidR="00906571">
        <w:rPr>
          <w:i/>
          <w:u w:val="single"/>
        </w:rPr>
        <w:t>k</w:t>
      </w:r>
      <w:r w:rsidR="00157A8C">
        <w:rPr>
          <w:i/>
          <w:u w:val="single"/>
        </w:rPr>
        <w:t>lassen</w:t>
      </w:r>
    </w:p>
    <w:p w14:paraId="4F6D1E61" w14:textId="283355F7" w:rsidR="004D57A7" w:rsidRPr="004D57A7" w:rsidRDefault="004D57A7" w:rsidP="00B41870"/>
    <w:p w14:paraId="5475BFB1" w14:textId="4E1206DF" w:rsidR="004D57A7" w:rsidRPr="004D57A7" w:rsidRDefault="00F56AD2" w:rsidP="00B41870">
      <w:r>
        <w:t>Festgelegt</w:t>
      </w:r>
      <w:r w:rsidR="004D57A7">
        <w:t xml:space="preserve"> wurden die Risikok</w:t>
      </w:r>
      <w:r w:rsidR="00157A8C">
        <w:t>lassen</w:t>
      </w:r>
      <w:r w:rsidR="004D57A7">
        <w:t xml:space="preserve"> </w:t>
      </w:r>
      <w:r w:rsidR="000C4CD9">
        <w:t xml:space="preserve">der Anwendungsfälle </w:t>
      </w:r>
      <w:r w:rsidR="004D57A7">
        <w:t>nach der folgenden Methode.</w:t>
      </w:r>
    </w:p>
    <w:p w14:paraId="6D41E654" w14:textId="142E1CC7" w:rsidR="00906571" w:rsidRDefault="00906571" w:rsidP="00B41870">
      <w:pPr>
        <w:rPr>
          <w:i/>
          <w:u w:val="single"/>
        </w:rPr>
      </w:pPr>
    </w:p>
    <w:p w14:paraId="452B8470" w14:textId="06CB875F" w:rsidR="003E3D9D" w:rsidRDefault="00906571" w:rsidP="003E3D9D">
      <w:pPr>
        <w:pStyle w:val="Listenabsatz"/>
        <w:numPr>
          <w:ilvl w:val="0"/>
          <w:numId w:val="18"/>
        </w:numPr>
      </w:pPr>
      <w:r>
        <w:lastRenderedPageBreak/>
        <w:t>E</w:t>
      </w:r>
      <w:r w:rsidR="004D57A7">
        <w:t>rste</w:t>
      </w:r>
      <w:r>
        <w:t>inschätzung</w:t>
      </w:r>
      <w:r w:rsidR="004D57A7">
        <w:t xml:space="preserve"> der Anwendungsfälle </w:t>
      </w:r>
      <w:r>
        <w:t>vom Entwicklungsdienstleister</w:t>
      </w:r>
      <w:r w:rsidR="003E3D9D">
        <w:t xml:space="preserve"> </w:t>
      </w:r>
      <w:r>
        <w:t xml:space="preserve"> </w:t>
      </w:r>
    </w:p>
    <w:p w14:paraId="7578D4B3" w14:textId="1FFA836C" w:rsidR="003E3D9D" w:rsidRDefault="004D57A7" w:rsidP="003E3D9D">
      <w:pPr>
        <w:pStyle w:val="Listenabsatz"/>
        <w:numPr>
          <w:ilvl w:val="0"/>
          <w:numId w:val="18"/>
        </w:numPr>
      </w:pPr>
      <w:r>
        <w:t>Parallel</w:t>
      </w:r>
      <w:r w:rsidR="003C6796">
        <w:t>e</w:t>
      </w:r>
      <w:r>
        <w:t xml:space="preserve"> u</w:t>
      </w:r>
      <w:r w:rsidR="003E3D9D">
        <w:t>nabhängige E</w:t>
      </w:r>
      <w:r>
        <w:t>rste</w:t>
      </w:r>
      <w:r w:rsidR="003E3D9D">
        <w:t xml:space="preserve">inschätzung </w:t>
      </w:r>
      <w:r>
        <w:t xml:space="preserve">des </w:t>
      </w:r>
      <w:r w:rsidR="00906571">
        <w:t>Fachbereich</w:t>
      </w:r>
      <w:r>
        <w:t>s</w:t>
      </w:r>
      <w:r w:rsidR="00906571">
        <w:t xml:space="preserve"> </w:t>
      </w:r>
    </w:p>
    <w:p w14:paraId="4812C64D" w14:textId="3807190D" w:rsidR="00906571" w:rsidRDefault="00580D8B" w:rsidP="003E3D9D">
      <w:pPr>
        <w:pStyle w:val="Listenabsatz"/>
        <w:numPr>
          <w:ilvl w:val="0"/>
          <w:numId w:val="18"/>
        </w:numPr>
      </w:pPr>
      <w:r>
        <w:t xml:space="preserve">Gemeinsame </w:t>
      </w:r>
      <w:r w:rsidR="004D57A7">
        <w:t xml:space="preserve">Besprechung der Abweichungen und </w:t>
      </w:r>
      <w:r w:rsidR="00906571">
        <w:t xml:space="preserve">Konsolidierung </w:t>
      </w:r>
      <w:r w:rsidR="003E3D9D">
        <w:t xml:space="preserve">der Listen </w:t>
      </w:r>
      <w:r w:rsidR="00906571">
        <w:t>in</w:t>
      </w:r>
      <w:r>
        <w:t xml:space="preserve"> einem</w:t>
      </w:r>
      <w:r w:rsidR="00906571">
        <w:t xml:space="preserve"> Workshop</w:t>
      </w:r>
    </w:p>
    <w:p w14:paraId="4BC0146A" w14:textId="7250E1C4" w:rsidR="003E3D9D" w:rsidRDefault="003E3D9D" w:rsidP="003E3D9D"/>
    <w:p w14:paraId="23F20CD3" w14:textId="21AE6580" w:rsidR="003E3D9D" w:rsidRDefault="007E2C3A" w:rsidP="003E3D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EDEA" wp14:editId="68866522">
                <wp:simplePos x="0" y="0"/>
                <wp:positionH relativeFrom="column">
                  <wp:posOffset>789305</wp:posOffset>
                </wp:positionH>
                <wp:positionV relativeFrom="paragraph">
                  <wp:posOffset>3310255</wp:posOffset>
                </wp:positionV>
                <wp:extent cx="1733550" cy="215900"/>
                <wp:effectExtent l="0" t="0" r="19050" b="1270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15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270D6" id="Rechteck: abgerundete Ecken 5" o:spid="_x0000_s1026" style="position:absolute;margin-left:62.15pt;margin-top:260.65pt;width:136.5pt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6A02536" wp14:editId="585DAA67">
            <wp:extent cx="4419600" cy="3464538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54" cy="34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89214" w14:textId="5F3938AD" w:rsidR="007E2C3A" w:rsidRDefault="007E2C3A" w:rsidP="003E3D9D"/>
    <w:p w14:paraId="7B49266E" w14:textId="6E524412" w:rsidR="004D57A7" w:rsidRDefault="00B4440F" w:rsidP="003E3D9D">
      <w:r>
        <w:t>Die parallel durchgeführte</w:t>
      </w:r>
      <w:r w:rsidR="001B5FCE">
        <w:t>n</w:t>
      </w:r>
      <w:r>
        <w:t xml:space="preserve"> Einschätzung</w:t>
      </w:r>
      <w:r w:rsidR="001B5FCE">
        <w:t>en</w:t>
      </w:r>
      <w:r>
        <w:t xml:space="preserve"> der Anwendungsfälle durch den Entwicklungsdienstleister und den Fachbereich wurden in einer dafür vorbereiteten Exceltabelle dokumentiert. Dadurch wurden sowohl eher technisch als auch fachlich geprägte Blickwinkel berücksichtigt. </w:t>
      </w:r>
    </w:p>
    <w:p w14:paraId="67D2D836" w14:textId="1EBD8C00" w:rsidR="00B4440F" w:rsidRDefault="00B4440F" w:rsidP="003E3D9D"/>
    <w:p w14:paraId="68B0A38E" w14:textId="2BD54953" w:rsidR="00B4440F" w:rsidRDefault="00B4440F" w:rsidP="003E3D9D">
      <w:r>
        <w:t xml:space="preserve">In </w:t>
      </w:r>
      <w:r w:rsidR="0049740F">
        <w:t xml:space="preserve">einem </w:t>
      </w:r>
      <w:r>
        <w:t xml:space="preserve">separaten Workshop mit Vertretern beider Gruppen wurden dann die Abweichungen in der Einschätzung </w:t>
      </w:r>
      <w:r w:rsidR="0049740F">
        <w:t>der Risikok</w:t>
      </w:r>
      <w:r w:rsidR="00157A8C">
        <w:t>lassen</w:t>
      </w:r>
      <w:r w:rsidR="0049740F">
        <w:t xml:space="preserve"> </w:t>
      </w:r>
      <w:r>
        <w:t xml:space="preserve">besprochen und </w:t>
      </w:r>
      <w:r w:rsidR="009218D1">
        <w:t xml:space="preserve">als gemeinsame Sicht </w:t>
      </w:r>
      <w:r>
        <w:t>final festgelegt. D</w:t>
      </w:r>
      <w:r w:rsidR="00394E98">
        <w:t>as</w:t>
      </w:r>
      <w:r>
        <w:t xml:space="preserve"> </w:t>
      </w:r>
      <w:r w:rsidR="00394E98">
        <w:t xml:space="preserve">dritte Tabellenblatt im </w:t>
      </w:r>
      <w:r>
        <w:t>Excel</w:t>
      </w:r>
      <w:r w:rsidR="00394E98">
        <w:t>dokument</w:t>
      </w:r>
      <w:r>
        <w:t xml:space="preserve"> diente dabei zur </w:t>
      </w:r>
      <w:r w:rsidR="00394E98">
        <w:t xml:space="preserve">abschließenden </w:t>
      </w:r>
      <w:r>
        <w:t xml:space="preserve">Dokumentation. </w:t>
      </w:r>
    </w:p>
    <w:p w14:paraId="4C9A666B" w14:textId="5A57FCB3" w:rsidR="0049740F" w:rsidRDefault="0049740F" w:rsidP="003E3D9D"/>
    <w:p w14:paraId="43631847" w14:textId="77777777" w:rsidR="0049740F" w:rsidRDefault="0049740F" w:rsidP="0049740F">
      <w:pPr>
        <w:rPr>
          <w:i/>
          <w:u w:val="single"/>
        </w:rPr>
      </w:pPr>
      <w:r w:rsidRPr="007E2C3A">
        <w:rPr>
          <w:i/>
          <w:u w:val="single"/>
        </w:rPr>
        <w:t>Nutzung der Risikoklassifizierung</w:t>
      </w:r>
    </w:p>
    <w:p w14:paraId="4BA73FAC" w14:textId="77777777" w:rsidR="0049740F" w:rsidRDefault="0049740F" w:rsidP="0049740F"/>
    <w:p w14:paraId="0353A8AE" w14:textId="6151E86B" w:rsidR="00580D8B" w:rsidRDefault="0049740F" w:rsidP="0049740F">
      <w:r>
        <w:t>Für den Testdienstleister diente diese</w:t>
      </w:r>
      <w:r w:rsidR="00394E98">
        <w:t>s</w:t>
      </w:r>
      <w:r w:rsidR="00A12605">
        <w:t xml:space="preserve"> </w:t>
      </w:r>
      <w:r w:rsidR="009218D1">
        <w:t>Ergebnis</w:t>
      </w:r>
      <w:r>
        <w:t xml:space="preserve"> als Basis für die Erstellung der Testfälle zu den entsprechenden Komponenten.</w:t>
      </w:r>
      <w:r w:rsidR="004659E8">
        <w:t xml:space="preserve"> </w:t>
      </w:r>
    </w:p>
    <w:p w14:paraId="6FB45A7E" w14:textId="77777777" w:rsidR="00580D8B" w:rsidRDefault="00580D8B" w:rsidP="0049740F"/>
    <w:p w14:paraId="3DEC8FF8" w14:textId="2F248838" w:rsidR="004659E8" w:rsidRDefault="004659E8" w:rsidP="0049740F">
      <w:r>
        <w:t xml:space="preserve">Auf folgende Art konnte die </w:t>
      </w:r>
      <w:r w:rsidR="000C4CD9">
        <w:t>Risikok</w:t>
      </w:r>
      <w:r>
        <w:t>lassifizierung zur Optimierung der Tests genutzt werden:</w:t>
      </w:r>
    </w:p>
    <w:p w14:paraId="512D3164" w14:textId="77777777" w:rsidR="000C4CD9" w:rsidRDefault="000C4CD9" w:rsidP="0049740F"/>
    <w:p w14:paraId="613E2272" w14:textId="2A1C6262" w:rsidR="000C4CD9" w:rsidRDefault="000C4CD9" w:rsidP="004659E8">
      <w:pPr>
        <w:pStyle w:val="Listenabsatz"/>
        <w:numPr>
          <w:ilvl w:val="0"/>
          <w:numId w:val="20"/>
        </w:numPr>
      </w:pPr>
      <w:r>
        <w:t>Auswahl der Methoden zur Testfallerstellung</w:t>
      </w:r>
    </w:p>
    <w:p w14:paraId="1DF7040C" w14:textId="260B3E4C" w:rsidR="000C4CD9" w:rsidRDefault="000C4CD9" w:rsidP="000C4CD9">
      <w:pPr>
        <w:pStyle w:val="Listenabsatz"/>
        <w:ind w:left="780"/>
      </w:pPr>
      <w:r>
        <w:t>Auf Basis der Risikoklassifizierung der Anwendungsfälle wurde festgelegt, welche Methoden im Rahmen des Testentwurfs bei der Testfallerstellung geeignet sind.</w:t>
      </w:r>
    </w:p>
    <w:p w14:paraId="1B951720" w14:textId="2404A517" w:rsidR="0049740F" w:rsidRDefault="004659E8" w:rsidP="004659E8">
      <w:pPr>
        <w:pStyle w:val="Listenabsatz"/>
        <w:numPr>
          <w:ilvl w:val="0"/>
          <w:numId w:val="20"/>
        </w:numPr>
      </w:pPr>
      <w:r>
        <w:t>Testfälle priorisieren</w:t>
      </w:r>
    </w:p>
    <w:p w14:paraId="341F88EF" w14:textId="4C9B9EDE" w:rsidR="004659E8" w:rsidRDefault="00580D8B" w:rsidP="004659E8">
      <w:pPr>
        <w:pStyle w:val="Listenabsatz"/>
        <w:ind w:left="780"/>
      </w:pPr>
      <w:r>
        <w:t xml:space="preserve">Es erfolgte </w:t>
      </w:r>
      <w:r w:rsidR="000C4CD9">
        <w:t>eine</w:t>
      </w:r>
      <w:r>
        <w:t xml:space="preserve"> </w:t>
      </w:r>
      <w:r w:rsidR="004659E8">
        <w:t>Konzentration auf die kritischen Anwendungsfälle, damit potentiell schwerwiegende Probleme möglichst früh erkannt und behoben werden konnten</w:t>
      </w:r>
      <w:r>
        <w:t>.</w:t>
      </w:r>
    </w:p>
    <w:p w14:paraId="18E90B16" w14:textId="1E0328B6" w:rsidR="004659E8" w:rsidRDefault="004659E8" w:rsidP="004659E8">
      <w:pPr>
        <w:pStyle w:val="Listenabsatz"/>
        <w:numPr>
          <w:ilvl w:val="0"/>
          <w:numId w:val="20"/>
        </w:numPr>
      </w:pPr>
      <w:r>
        <w:t>Testabdeckung sicherstellen</w:t>
      </w:r>
    </w:p>
    <w:p w14:paraId="7A3D9153" w14:textId="5A43CD18" w:rsidR="004659E8" w:rsidRDefault="004659E8" w:rsidP="004659E8">
      <w:pPr>
        <w:pStyle w:val="Listenabsatz"/>
        <w:ind w:left="780"/>
      </w:pPr>
      <w:r>
        <w:t>Risikobehaftete Komponenten erforder</w:t>
      </w:r>
      <w:r w:rsidR="00A12605">
        <w:t>te</w:t>
      </w:r>
      <w:r>
        <w:t>n eine umfangreichere Testabdeckung als ander</w:t>
      </w:r>
      <w:r w:rsidR="00A12605">
        <w:t>e;</w:t>
      </w:r>
      <w:r>
        <w:t xml:space="preserve"> die Einteilung </w:t>
      </w:r>
      <w:r w:rsidR="00A12605">
        <w:t xml:space="preserve">konnte anhand der Klassifizierung </w:t>
      </w:r>
      <w:r>
        <w:t>überprüft werden</w:t>
      </w:r>
      <w:r w:rsidR="00580D8B">
        <w:t>.</w:t>
      </w:r>
      <w:r>
        <w:t xml:space="preserve"> </w:t>
      </w:r>
    </w:p>
    <w:p w14:paraId="0EE41FD8" w14:textId="5469CCA2" w:rsidR="004659E8" w:rsidRDefault="004659E8" w:rsidP="004659E8">
      <w:pPr>
        <w:pStyle w:val="Listenabsatz"/>
        <w:numPr>
          <w:ilvl w:val="0"/>
          <w:numId w:val="20"/>
        </w:numPr>
      </w:pPr>
      <w:r>
        <w:t>Testprioritäten festlegen</w:t>
      </w:r>
    </w:p>
    <w:p w14:paraId="79DC4CCC" w14:textId="092A792D" w:rsidR="00E75A0C" w:rsidRDefault="00580D8B" w:rsidP="00E75A0C">
      <w:pPr>
        <w:pStyle w:val="Listenabsatz"/>
        <w:ind w:left="780"/>
      </w:pPr>
      <w:r>
        <w:lastRenderedPageBreak/>
        <w:t>Es konnte die effiziente Einteilung der Testr</w:t>
      </w:r>
      <w:r w:rsidR="00E75A0C">
        <w:t>essourcen</w:t>
      </w:r>
      <w:r>
        <w:t xml:space="preserve"> sichergestellt werden. K</w:t>
      </w:r>
      <w:r w:rsidR="00E75A0C">
        <w:t>ritische A</w:t>
      </w:r>
      <w:r>
        <w:t xml:space="preserve">nwendungsfälle wurden zuerst berücksichtigten, bevor dazu übergegangen werden konnte weniger </w:t>
      </w:r>
      <w:r w:rsidR="00E75A0C">
        <w:t>kritische</w:t>
      </w:r>
      <w:r>
        <w:t xml:space="preserve"> Objekte zu betrachten</w:t>
      </w:r>
      <w:r w:rsidR="000C4CD9">
        <w:t>.</w:t>
      </w:r>
    </w:p>
    <w:p w14:paraId="782D47A5" w14:textId="77777777" w:rsidR="000C4CD9" w:rsidRDefault="000C4CD9" w:rsidP="000C4CD9">
      <w:pPr>
        <w:pStyle w:val="Listenabsatz"/>
        <w:numPr>
          <w:ilvl w:val="0"/>
          <w:numId w:val="20"/>
        </w:numPr>
      </w:pPr>
      <w:r>
        <w:t>Fehlerbehebung priorisieren</w:t>
      </w:r>
    </w:p>
    <w:p w14:paraId="7C22751B" w14:textId="519FF238" w:rsidR="000C4CD9" w:rsidRDefault="000C4CD9" w:rsidP="000C4CD9">
      <w:pPr>
        <w:pStyle w:val="Listenabsatz"/>
        <w:ind w:left="780"/>
      </w:pPr>
      <w:r>
        <w:t xml:space="preserve">Die </w:t>
      </w:r>
      <w:r w:rsidR="00C27770">
        <w:t>dokumentierten</w:t>
      </w:r>
      <w:r>
        <w:t xml:space="preserve"> Abweichungen wurden den Anwendungsfällen zugeordnet und deren Klassifizierung automatisch in das Fehlerverfolgungssystem (JIRA) übernommen; Anpassungen waren nachträglich möglich (z.B. trivialer Buchstabendreher in einer kritischen Komponente)</w:t>
      </w:r>
      <w:r w:rsidR="00B52805">
        <w:t>. Zugrunde liegt die Annahme, dass Abweichungen zu kritischen Anwendungsfällen</w:t>
      </w:r>
      <w:r w:rsidR="00C27770">
        <w:t xml:space="preserve"> üblicherweise auch eine hohe Kritikalität haben.</w:t>
      </w:r>
      <w:r w:rsidR="00B52805">
        <w:t xml:space="preserve"> </w:t>
      </w:r>
    </w:p>
    <w:p w14:paraId="7C800112" w14:textId="77777777" w:rsidR="004D57A7" w:rsidRDefault="004D57A7" w:rsidP="003E3D9D"/>
    <w:p w14:paraId="18EAACDA" w14:textId="7F56C9BF" w:rsidR="007E2C3A" w:rsidRDefault="000519C3" w:rsidP="003E3D9D">
      <w:pPr>
        <w:rPr>
          <w:i/>
          <w:u w:val="single"/>
        </w:rPr>
      </w:pPr>
      <w:r>
        <w:rPr>
          <w:i/>
          <w:u w:val="single"/>
        </w:rPr>
        <w:t>Verfahren</w:t>
      </w:r>
      <w:r w:rsidR="007E2C3A">
        <w:rPr>
          <w:i/>
          <w:u w:val="single"/>
        </w:rPr>
        <w:t xml:space="preserve"> zur Testfallerstellung</w:t>
      </w:r>
    </w:p>
    <w:p w14:paraId="3DC52582" w14:textId="3E02A41D" w:rsidR="007E2C3A" w:rsidRDefault="007E2C3A" w:rsidP="003E3D9D"/>
    <w:p w14:paraId="7B6F4840" w14:textId="6D65F2CC" w:rsidR="0049740F" w:rsidRDefault="0049740F" w:rsidP="003E3D9D">
      <w:r>
        <w:t>Je nach Risikok</w:t>
      </w:r>
      <w:r w:rsidR="00157A8C">
        <w:t>lasse</w:t>
      </w:r>
      <w:r w:rsidR="00C27770">
        <w:t xml:space="preserve"> wurden unterschiedliche </w:t>
      </w:r>
      <w:r w:rsidR="000519C3">
        <w:t>Verfahren</w:t>
      </w:r>
      <w:r w:rsidR="00C27770">
        <w:t xml:space="preserve"> zur Testfallerstellung funktionaler Tests verwendet:</w:t>
      </w:r>
    </w:p>
    <w:p w14:paraId="6D954E41" w14:textId="77777777" w:rsidR="0049740F" w:rsidRDefault="0049740F" w:rsidP="003E3D9D"/>
    <w:p w14:paraId="69E0734D" w14:textId="7A91D568" w:rsidR="007E2C3A" w:rsidRDefault="007E2C3A" w:rsidP="007E2C3A">
      <w:pPr>
        <w:pStyle w:val="Listenabsatz"/>
        <w:numPr>
          <w:ilvl w:val="0"/>
          <w:numId w:val="19"/>
        </w:numPr>
      </w:pPr>
      <w:r>
        <w:t>Methodisch</w:t>
      </w:r>
      <w:r w:rsidR="00C27770">
        <w:t>: Mit dem Einsatz von Äquivalenzklassenbildung, Grenzwertanalyse</w:t>
      </w:r>
      <w:r w:rsidR="00325FEE">
        <w:t xml:space="preserve"> </w:t>
      </w:r>
      <w:r w:rsidR="00C27770">
        <w:t xml:space="preserve">oder </w:t>
      </w:r>
      <w:r w:rsidR="00325FEE">
        <w:t>dem paarweisen Testen</w:t>
      </w:r>
      <w:r w:rsidR="00C27770">
        <w:t xml:space="preserve"> wurden Testfälle und </w:t>
      </w:r>
      <w:r w:rsidR="00325FEE">
        <w:t>Test</w:t>
      </w:r>
      <w:r w:rsidR="00C27770">
        <w:t xml:space="preserve">daten ermittelt. Diese Testentwurfsmethoden wurden vor allem für Testobjekte der </w:t>
      </w:r>
      <w:r w:rsidR="00C27770" w:rsidRPr="00855A3A">
        <w:rPr>
          <w:b/>
        </w:rPr>
        <w:t>Risikoklasse A</w:t>
      </w:r>
      <w:r w:rsidR="00C27770">
        <w:t xml:space="preserve"> eingesetzt.</w:t>
      </w:r>
      <w:r w:rsidR="00325FEE">
        <w:t xml:space="preserve"> </w:t>
      </w:r>
    </w:p>
    <w:p w14:paraId="57021870" w14:textId="29D3D057" w:rsidR="007E2C3A" w:rsidRDefault="007E2C3A" w:rsidP="007E2C3A">
      <w:pPr>
        <w:pStyle w:val="Listenabsatz"/>
        <w:numPr>
          <w:ilvl w:val="0"/>
          <w:numId w:val="19"/>
        </w:numPr>
      </w:pPr>
      <w:r>
        <w:t>Wissensbasiert</w:t>
      </w:r>
      <w:r w:rsidR="00C27770">
        <w:t xml:space="preserve">: Ein fachlich erfahrener Projektteilnehmer erstellt die fachlichen Testfälle basierend auf seinem Wissen, ohne vorgeschriebenen Einsatz </w:t>
      </w:r>
      <w:r w:rsidR="00827D95">
        <w:t>analytische</w:t>
      </w:r>
      <w:r w:rsidR="00C27770">
        <w:t>r</w:t>
      </w:r>
      <w:r w:rsidR="00827D95">
        <w:t xml:space="preserve"> Methode</w:t>
      </w:r>
      <w:r w:rsidR="00C27770">
        <w:t xml:space="preserve">n. Diese Herangehensweise wurde vor allem für die </w:t>
      </w:r>
      <w:r w:rsidR="00C27770" w:rsidRPr="00855A3A">
        <w:rPr>
          <w:b/>
        </w:rPr>
        <w:t xml:space="preserve">Risikoklassen </w:t>
      </w:r>
      <w:r w:rsidR="00404761" w:rsidRPr="00855A3A">
        <w:rPr>
          <w:b/>
        </w:rPr>
        <w:t>B und C</w:t>
      </w:r>
      <w:r w:rsidR="00C27770">
        <w:t xml:space="preserve"> eingesetzt.</w:t>
      </w:r>
      <w:r w:rsidR="00827D95">
        <w:t xml:space="preserve"> </w:t>
      </w:r>
    </w:p>
    <w:p w14:paraId="25F6F4E1" w14:textId="249FD9CF" w:rsidR="007E2C3A" w:rsidRDefault="007E2C3A" w:rsidP="007E2C3A">
      <w:pPr>
        <w:pStyle w:val="Listenabsatz"/>
        <w:numPr>
          <w:ilvl w:val="0"/>
          <w:numId w:val="19"/>
        </w:numPr>
      </w:pPr>
      <w:r>
        <w:t>Experimentell</w:t>
      </w:r>
      <w:r w:rsidR="00827D95">
        <w:t xml:space="preserve"> </w:t>
      </w:r>
      <w:r w:rsidR="007F6EF4">
        <w:t>–</w:t>
      </w:r>
      <w:r w:rsidR="00827D95">
        <w:t xml:space="preserve"> </w:t>
      </w:r>
      <w:r w:rsidR="00C27770">
        <w:t xml:space="preserve">Zur Erstellung der Testfälle sind </w:t>
      </w:r>
      <w:r w:rsidR="007F6EF4">
        <w:t>keine fundierte</w:t>
      </w:r>
      <w:r w:rsidR="00404761">
        <w:t>n</w:t>
      </w:r>
      <w:r w:rsidR="007F6EF4">
        <w:t xml:space="preserve"> </w:t>
      </w:r>
      <w:r w:rsidR="00C27770">
        <w:t xml:space="preserve">fachlichen </w:t>
      </w:r>
      <w:r w:rsidR="00404761">
        <w:t>Kenntnisse erforderlich</w:t>
      </w:r>
      <w:r w:rsidR="00C27770">
        <w:t xml:space="preserve">. </w:t>
      </w:r>
      <w:r w:rsidR="000519C3">
        <w:t>Sie wurden ohne den Einsatz analytischer Methoden</w:t>
      </w:r>
      <w:r w:rsidR="00404761">
        <w:t xml:space="preserve"> für </w:t>
      </w:r>
      <w:r w:rsidR="000519C3">
        <w:t xml:space="preserve">die Tests der Anwendungsfälle in </w:t>
      </w:r>
      <w:r w:rsidR="000519C3" w:rsidRPr="00855A3A">
        <w:rPr>
          <w:b/>
        </w:rPr>
        <w:t xml:space="preserve">Risikoklasse </w:t>
      </w:r>
      <w:r w:rsidR="00404761" w:rsidRPr="00855A3A">
        <w:rPr>
          <w:b/>
        </w:rPr>
        <w:t>C</w:t>
      </w:r>
      <w:r w:rsidR="00404761">
        <w:t xml:space="preserve"> </w:t>
      </w:r>
      <w:r w:rsidR="000519C3">
        <w:t>hergestellt.</w:t>
      </w:r>
    </w:p>
    <w:p w14:paraId="201B9518" w14:textId="1DBB0A20" w:rsidR="007E2C3A" w:rsidRDefault="007E2C3A" w:rsidP="007E2C3A"/>
    <w:p w14:paraId="2B8035C8" w14:textId="65A4F34E" w:rsidR="007E2C3A" w:rsidRDefault="000519C3" w:rsidP="007E2C3A">
      <w:r>
        <w:t>Ergänzend wurde auch</w:t>
      </w:r>
      <w:r w:rsidR="007E2C3A">
        <w:t xml:space="preserve"> freies Testen (exploratives Testen</w:t>
      </w:r>
      <w:r w:rsidR="009068B4">
        <w:t>)</w:t>
      </w:r>
      <w:r w:rsidR="007E2C3A">
        <w:t xml:space="preserve"> </w:t>
      </w:r>
      <w:r>
        <w:t xml:space="preserve">praktiziert, </w:t>
      </w:r>
      <w:r w:rsidR="007E2C3A">
        <w:t>unabhängig von den Testfällen</w:t>
      </w:r>
      <w:r>
        <w:t xml:space="preserve">. Für diese Aufgabe wurde auf Mitarbeiter mit großer fachlicher Erfahrung zurückgegriffen. </w:t>
      </w:r>
    </w:p>
    <w:p w14:paraId="49CAE077" w14:textId="07121E82" w:rsidR="000519C3" w:rsidRDefault="000519C3" w:rsidP="007E2C3A"/>
    <w:p w14:paraId="5D291C91" w14:textId="7B339281" w:rsidR="000519C3" w:rsidRDefault="000519C3" w:rsidP="007E2C3A">
      <w:r>
        <w:t xml:space="preserve">In der Praxis stellte sich die Kombination der unterschiedlichen Methoden als ein </w:t>
      </w:r>
      <w:r w:rsidR="00DA5566">
        <w:t xml:space="preserve">wichtiger </w:t>
      </w:r>
      <w:r>
        <w:t>Erfolgsfaktor heraus.</w:t>
      </w:r>
    </w:p>
    <w:p w14:paraId="048861FE" w14:textId="7F23FBF3" w:rsidR="00D676EC" w:rsidRDefault="00D676EC" w:rsidP="007E2C3A"/>
    <w:p w14:paraId="7B4C6AC5" w14:textId="77777777" w:rsidR="00D676EC" w:rsidRDefault="00D676EC" w:rsidP="00D676EC">
      <w:r>
        <w:rPr>
          <w:i/>
          <w:u w:val="single"/>
        </w:rPr>
        <w:t>Berücksichtigung der Risikoklassen in den Testberichten</w:t>
      </w:r>
    </w:p>
    <w:p w14:paraId="3DA8F21D" w14:textId="77777777" w:rsidR="00D676EC" w:rsidRDefault="00D676EC" w:rsidP="00D676EC"/>
    <w:p w14:paraId="155D27C4" w14:textId="4A3691AD" w:rsidR="00D676EC" w:rsidRDefault="00D676EC" w:rsidP="00D676EC">
      <w:r>
        <w:t>Im Rahmen de</w:t>
      </w:r>
      <w:r w:rsidR="001405AF">
        <w:t>s</w:t>
      </w:r>
      <w:r>
        <w:t xml:space="preserve"> </w:t>
      </w:r>
      <w:r w:rsidR="001405AF">
        <w:t>B</w:t>
      </w:r>
      <w:r>
        <w:t>ericht</w:t>
      </w:r>
      <w:r w:rsidR="001405AF">
        <w:t>swesens</w:t>
      </w:r>
      <w:r>
        <w:t xml:space="preserve"> erfolgte während der Testdurchführung die Auswertung der Testmaßnahmen. Diese Berichte berücksichtigten die Risikoklassen im Hinblick auf die Abnahmekriterien und auf Abbruch- bzw. Wiederaufnahmekriterien.</w:t>
      </w:r>
    </w:p>
    <w:p w14:paraId="31CB4CE4" w14:textId="77777777" w:rsidR="00D676EC" w:rsidRDefault="00D676EC" w:rsidP="00D676EC"/>
    <w:p w14:paraId="5F5193A1" w14:textId="77777777" w:rsidR="00D676EC" w:rsidRDefault="00D676EC" w:rsidP="00D676EC">
      <w:r>
        <w:t xml:space="preserve">So kam es beispielsweise zum Abbruch der Testmaßnahme, sobald &gt;25% der durchgeführten Testfälle der Risikoklasse A einen Fehler der Kritikalität „1-blocker“ oder „2-kritisch“ verursachten. </w:t>
      </w:r>
    </w:p>
    <w:p w14:paraId="5799684B" w14:textId="77777777" w:rsidR="00D676EC" w:rsidRDefault="00D676EC" w:rsidP="00D676EC"/>
    <w:p w14:paraId="3342F929" w14:textId="4B0ED3C3" w:rsidR="00D676EC" w:rsidRDefault="00D676EC" w:rsidP="00D676EC">
      <w:r>
        <w:t xml:space="preserve">Für die erfolgreiche Beendigung der Abnahmetests wurde </w:t>
      </w:r>
      <w:r w:rsidR="00D9718D">
        <w:t xml:space="preserve">hingegen </w:t>
      </w:r>
      <w:r>
        <w:t xml:space="preserve">ein erfolgreicher Durchlauf der Testfälle gestaffelt nach Risikoklasse vorausgesetzt:  </w:t>
      </w:r>
    </w:p>
    <w:p w14:paraId="2B5D73A9" w14:textId="77777777" w:rsidR="00D676EC" w:rsidRDefault="00D676EC" w:rsidP="00D676EC"/>
    <w:p w14:paraId="3B2AE519" w14:textId="77777777" w:rsidR="00D676EC" w:rsidRDefault="00D676EC" w:rsidP="00D676EC">
      <w:pPr>
        <w:pStyle w:val="Listenabsatz"/>
        <w:numPr>
          <w:ilvl w:val="0"/>
          <w:numId w:val="20"/>
        </w:numPr>
      </w:pPr>
      <w:r>
        <w:t>Testfälle der Risikoklasse A 100% erfolgreich</w:t>
      </w:r>
    </w:p>
    <w:p w14:paraId="77A3CD97" w14:textId="77777777" w:rsidR="00D676EC" w:rsidRDefault="00D676EC" w:rsidP="00D676EC">
      <w:pPr>
        <w:pStyle w:val="Listenabsatz"/>
        <w:numPr>
          <w:ilvl w:val="0"/>
          <w:numId w:val="20"/>
        </w:numPr>
      </w:pPr>
      <w:r>
        <w:t>Testfälle der Risikoklasse B 90% erfolgreich</w:t>
      </w:r>
    </w:p>
    <w:p w14:paraId="62130E11" w14:textId="77777777" w:rsidR="00D676EC" w:rsidRDefault="00D676EC" w:rsidP="00D676EC">
      <w:pPr>
        <w:pStyle w:val="Listenabsatz"/>
        <w:numPr>
          <w:ilvl w:val="0"/>
          <w:numId w:val="20"/>
        </w:numPr>
      </w:pPr>
      <w:r>
        <w:t>Testfälle der Risikoklasse C 80% erfolgreich</w:t>
      </w:r>
    </w:p>
    <w:p w14:paraId="22859FB3" w14:textId="77777777" w:rsidR="00D676EC" w:rsidRPr="007E2C3A" w:rsidRDefault="00D676EC" w:rsidP="007E2C3A"/>
    <w:p w14:paraId="51CAD520" w14:textId="77777777" w:rsidR="00D51CF4" w:rsidRDefault="00D51CF4" w:rsidP="003E3D9D"/>
    <w:p w14:paraId="609FFFF3" w14:textId="77777777" w:rsidR="00854E03" w:rsidRDefault="00854E03" w:rsidP="007E2C3A">
      <w:pPr>
        <w:rPr>
          <w:i/>
          <w:u w:val="single"/>
        </w:rPr>
      </w:pPr>
    </w:p>
    <w:p w14:paraId="099AFF74" w14:textId="77777777" w:rsidR="00854E03" w:rsidRDefault="00854E03" w:rsidP="007E2C3A">
      <w:pPr>
        <w:rPr>
          <w:i/>
          <w:u w:val="single"/>
        </w:rPr>
      </w:pPr>
    </w:p>
    <w:p w14:paraId="275BC91B" w14:textId="77777777" w:rsidR="00854E03" w:rsidRDefault="00854E03" w:rsidP="007E2C3A">
      <w:pPr>
        <w:rPr>
          <w:i/>
          <w:u w:val="single"/>
        </w:rPr>
      </w:pPr>
    </w:p>
    <w:p w14:paraId="265F0787" w14:textId="1A46C0B6" w:rsidR="007E2C3A" w:rsidRDefault="007E2C3A" w:rsidP="007E2C3A">
      <w:pPr>
        <w:rPr>
          <w:i/>
          <w:u w:val="single"/>
        </w:rPr>
      </w:pPr>
      <w:r>
        <w:rPr>
          <w:i/>
          <w:u w:val="single"/>
        </w:rPr>
        <w:lastRenderedPageBreak/>
        <w:t xml:space="preserve">Eingesetzte Dokumente und Werkzeuge </w:t>
      </w:r>
    </w:p>
    <w:p w14:paraId="1904A266" w14:textId="61D6DA0D" w:rsidR="00DA5566" w:rsidRPr="00DA5566" w:rsidRDefault="00DA5566" w:rsidP="007E2C3A"/>
    <w:p w14:paraId="0A780B01" w14:textId="41DFC1A8" w:rsidR="00DA5566" w:rsidRPr="00DA5566" w:rsidRDefault="00DA5566" w:rsidP="007E2C3A">
      <w:r>
        <w:t>Dokumentiert wurden das Vorgehen sowie die Ergebnisse an verschiedenen Stellen mit folgenden Werkzeugen:</w:t>
      </w:r>
    </w:p>
    <w:p w14:paraId="26B087FB" w14:textId="77777777" w:rsidR="007E2C3A" w:rsidRDefault="007E2C3A" w:rsidP="007E2C3A"/>
    <w:p w14:paraId="5D5D7C07" w14:textId="3802DF3D" w:rsidR="007E2C3A" w:rsidRDefault="007E2C3A" w:rsidP="00DA5566">
      <w:pPr>
        <w:pStyle w:val="Listenabsatz"/>
        <w:numPr>
          <w:ilvl w:val="0"/>
          <w:numId w:val="22"/>
        </w:numPr>
      </w:pPr>
      <w:r>
        <w:t xml:space="preserve">Testkonzept </w:t>
      </w:r>
      <w:r w:rsidR="00DA5566">
        <w:t xml:space="preserve">übergreifend </w:t>
      </w:r>
      <w:r w:rsidR="00325FEE">
        <w:t xml:space="preserve">zur Vorgehensbeschreibung </w:t>
      </w:r>
      <w:r>
        <w:t>(MS WORD)</w:t>
      </w:r>
    </w:p>
    <w:p w14:paraId="666BFC32" w14:textId="644D3EEC" w:rsidR="007E2C3A" w:rsidRDefault="007E2C3A" w:rsidP="00DA5566">
      <w:pPr>
        <w:pStyle w:val="Listenabsatz"/>
        <w:numPr>
          <w:ilvl w:val="0"/>
          <w:numId w:val="22"/>
        </w:numPr>
      </w:pPr>
      <w:r>
        <w:t xml:space="preserve">Excel Formular </w:t>
      </w:r>
      <w:bookmarkStart w:id="0" w:name="_GoBack"/>
      <w:bookmarkEnd w:id="0"/>
      <w:r>
        <w:t xml:space="preserve">zur </w:t>
      </w:r>
      <w:r w:rsidR="00325FEE">
        <w:t xml:space="preserve">konkreten </w:t>
      </w:r>
      <w:r>
        <w:t>Einordnung der Anwendungsfälle (MS EXCEL)</w:t>
      </w:r>
    </w:p>
    <w:p w14:paraId="57B6FA55" w14:textId="0B979937" w:rsidR="007E2C3A" w:rsidRDefault="007E2C3A" w:rsidP="00DA5566">
      <w:pPr>
        <w:pStyle w:val="Listenabsatz"/>
        <w:numPr>
          <w:ilvl w:val="0"/>
          <w:numId w:val="22"/>
        </w:numPr>
      </w:pPr>
      <w:r>
        <w:t xml:space="preserve">Dokumentierte Testfälle </w:t>
      </w:r>
      <w:r w:rsidR="00DA5566">
        <w:t xml:space="preserve">und Abweichungen </w:t>
      </w:r>
      <w:r>
        <w:t>(Atlassian JIRA</w:t>
      </w:r>
      <w:r w:rsidR="00DA5566">
        <w:t xml:space="preserve"> mit Zephyr Plugin</w:t>
      </w:r>
      <w:r>
        <w:t>)</w:t>
      </w:r>
    </w:p>
    <w:p w14:paraId="6E6ACE6F" w14:textId="77777777" w:rsidR="00906571" w:rsidRPr="00906571" w:rsidRDefault="00906571" w:rsidP="00B41870"/>
    <w:p w14:paraId="6E9FD76B" w14:textId="073ED320" w:rsidR="00B41870" w:rsidRDefault="00854E03">
      <w:pPr>
        <w:rPr>
          <w:i/>
          <w:u w:val="single"/>
        </w:rPr>
      </w:pPr>
      <w:r w:rsidRPr="00854E03">
        <w:rPr>
          <w:i/>
          <w:u w:val="single"/>
        </w:rPr>
        <w:t>Erfolgsfaktoren:</w:t>
      </w:r>
    </w:p>
    <w:p w14:paraId="10361C97" w14:textId="06F3758C" w:rsidR="00854E03" w:rsidRDefault="00854E03"/>
    <w:p w14:paraId="44F1212C" w14:textId="354C7EB3" w:rsidR="00854E03" w:rsidRDefault="00854E03" w:rsidP="00854E03">
      <w:pPr>
        <w:pStyle w:val="Listenabsatz"/>
        <w:numPr>
          <w:ilvl w:val="0"/>
          <w:numId w:val="23"/>
        </w:numPr>
      </w:pPr>
      <w:r>
        <w:t>Von vorne herein berücksichtigen</w:t>
      </w:r>
      <w:r w:rsidR="00080F04">
        <w:t xml:space="preserve"> (z.B. Anwendungsfalldefinition)</w:t>
      </w:r>
    </w:p>
    <w:p w14:paraId="00728134" w14:textId="75CB6D24" w:rsidR="00854E03" w:rsidRDefault="00854E03" w:rsidP="00854E03">
      <w:pPr>
        <w:pStyle w:val="Listenabsatz"/>
        <w:numPr>
          <w:ilvl w:val="0"/>
          <w:numId w:val="23"/>
        </w:numPr>
      </w:pPr>
      <w:r>
        <w:t>Einbeziehen von fachlichen und technischen Experten</w:t>
      </w:r>
    </w:p>
    <w:p w14:paraId="1826F18C" w14:textId="604B64B8" w:rsidR="00080F04" w:rsidRDefault="00080F04" w:rsidP="00080F04">
      <w:pPr>
        <w:pStyle w:val="Listenabsatz"/>
        <w:numPr>
          <w:ilvl w:val="0"/>
          <w:numId w:val="23"/>
        </w:numPr>
      </w:pPr>
      <w:r>
        <w:t>Separate Einschätzungen und Abgleiche der Ergebnisse</w:t>
      </w:r>
    </w:p>
    <w:p w14:paraId="05A1E5BD" w14:textId="4535BB25" w:rsidR="00854E03" w:rsidRDefault="00854E03" w:rsidP="00854E03">
      <w:pPr>
        <w:pStyle w:val="Listenabsatz"/>
        <w:numPr>
          <w:ilvl w:val="0"/>
          <w:numId w:val="23"/>
        </w:numPr>
      </w:pPr>
      <w:r>
        <w:t>Konsequente Umsetzung und Überprüfung</w:t>
      </w:r>
    </w:p>
    <w:p w14:paraId="395961FE" w14:textId="4C695C89" w:rsidR="00080F04" w:rsidRDefault="00080F04" w:rsidP="00854E03">
      <w:pPr>
        <w:pStyle w:val="Listenabsatz"/>
        <w:numPr>
          <w:ilvl w:val="0"/>
          <w:numId w:val="23"/>
        </w:numPr>
      </w:pPr>
      <w:r>
        <w:t>Toolunterstützung</w:t>
      </w:r>
    </w:p>
    <w:p w14:paraId="5D2FEF15" w14:textId="77777777" w:rsidR="00854E03" w:rsidRPr="00854E03" w:rsidRDefault="00854E03"/>
    <w:p w14:paraId="3751AC0D" w14:textId="77777777" w:rsidR="00E45B47" w:rsidRDefault="00E45B47"/>
    <w:p w14:paraId="600C35DD" w14:textId="0DDECC56" w:rsidR="00746F03" w:rsidRDefault="00746F03">
      <w:r>
        <w:t>Quellen:</w:t>
      </w:r>
    </w:p>
    <w:p w14:paraId="4F7B3D18" w14:textId="77777777" w:rsidR="00746F03" w:rsidRDefault="00746F03"/>
    <w:p w14:paraId="68A381BC" w14:textId="54DB40E6" w:rsidR="00B17145" w:rsidRDefault="00DC1490" w:rsidP="00DC1490">
      <w:pPr>
        <w:pStyle w:val="Listenabsatz"/>
        <w:numPr>
          <w:ilvl w:val="0"/>
          <w:numId w:val="17"/>
        </w:numPr>
        <w:tabs>
          <w:tab w:val="left" w:pos="1695"/>
        </w:tabs>
        <w:spacing w:after="120" w:line="360" w:lineRule="auto"/>
      </w:pPr>
      <w:r>
        <w:t>Basiswissen Softwaretest, Spillner/Linz 2019</w:t>
      </w:r>
    </w:p>
    <w:p w14:paraId="4876C20D" w14:textId="77777777" w:rsidR="00531DBD" w:rsidRDefault="00531DBD">
      <w:pPr>
        <w:rPr>
          <w:rStyle w:val="Hyperlink"/>
        </w:rPr>
      </w:pPr>
    </w:p>
    <w:p w14:paraId="07257B76" w14:textId="77777777" w:rsidR="003A3DEF" w:rsidRDefault="003A3DEF">
      <w:pPr>
        <w:rPr>
          <w:rStyle w:val="Hyperlink"/>
        </w:rPr>
      </w:pPr>
    </w:p>
    <w:p w14:paraId="14B81F1F" w14:textId="77777777" w:rsidR="00874158" w:rsidRDefault="00874158"/>
    <w:p w14:paraId="6C62F3F8" w14:textId="77777777" w:rsidR="002811A9" w:rsidRDefault="002811A9"/>
    <w:sectPr w:rsidR="00281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B0D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58E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7CD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1AA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066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681A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5684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F8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8CD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0C2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32FA4"/>
    <w:multiLevelType w:val="hybridMultilevel"/>
    <w:tmpl w:val="A4525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A720B"/>
    <w:multiLevelType w:val="hybridMultilevel"/>
    <w:tmpl w:val="C7860146"/>
    <w:lvl w:ilvl="0" w:tplc="DFA2C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77E7A"/>
    <w:multiLevelType w:val="hybridMultilevel"/>
    <w:tmpl w:val="8FA8A3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0435"/>
    <w:multiLevelType w:val="hybridMultilevel"/>
    <w:tmpl w:val="36EE949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75B5B8A"/>
    <w:multiLevelType w:val="hybridMultilevel"/>
    <w:tmpl w:val="D6F2AA5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9E1558"/>
    <w:multiLevelType w:val="hybridMultilevel"/>
    <w:tmpl w:val="BC42CFA8"/>
    <w:lvl w:ilvl="0" w:tplc="C4825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07D6"/>
    <w:multiLevelType w:val="hybridMultilevel"/>
    <w:tmpl w:val="BC0A5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52955"/>
    <w:multiLevelType w:val="hybridMultilevel"/>
    <w:tmpl w:val="A06614D0"/>
    <w:lvl w:ilvl="0" w:tplc="6D76CF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10D91"/>
    <w:multiLevelType w:val="hybridMultilevel"/>
    <w:tmpl w:val="75802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D2201"/>
    <w:multiLevelType w:val="hybridMultilevel"/>
    <w:tmpl w:val="738AF410"/>
    <w:lvl w:ilvl="0" w:tplc="DFA2C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3376F"/>
    <w:multiLevelType w:val="hybridMultilevel"/>
    <w:tmpl w:val="DAB00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D5104"/>
    <w:multiLevelType w:val="hybridMultilevel"/>
    <w:tmpl w:val="90BCE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5374B"/>
    <w:multiLevelType w:val="hybridMultilevel"/>
    <w:tmpl w:val="E7346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5"/>
  </w:num>
  <w:num w:numId="14">
    <w:abstractNumId w:val="22"/>
  </w:num>
  <w:num w:numId="15">
    <w:abstractNumId w:val="11"/>
  </w:num>
  <w:num w:numId="16">
    <w:abstractNumId w:val="19"/>
  </w:num>
  <w:num w:numId="17">
    <w:abstractNumId w:val="21"/>
  </w:num>
  <w:num w:numId="18">
    <w:abstractNumId w:val="18"/>
  </w:num>
  <w:num w:numId="19">
    <w:abstractNumId w:val="20"/>
  </w:num>
  <w:num w:numId="20">
    <w:abstractNumId w:val="14"/>
  </w:num>
  <w:num w:numId="21">
    <w:abstractNumId w:val="13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D"/>
    <w:rsid w:val="00000FA7"/>
    <w:rsid w:val="000441B4"/>
    <w:rsid w:val="000519C3"/>
    <w:rsid w:val="00076546"/>
    <w:rsid w:val="00080F04"/>
    <w:rsid w:val="00091678"/>
    <w:rsid w:val="000C4CD9"/>
    <w:rsid w:val="000D1CDF"/>
    <w:rsid w:val="000D1E46"/>
    <w:rsid w:val="00113869"/>
    <w:rsid w:val="00121EEA"/>
    <w:rsid w:val="001405AF"/>
    <w:rsid w:val="00157A8C"/>
    <w:rsid w:val="001833B7"/>
    <w:rsid w:val="001978E3"/>
    <w:rsid w:val="001B5FCE"/>
    <w:rsid w:val="001D021F"/>
    <w:rsid w:val="001D6BE7"/>
    <w:rsid w:val="002142B1"/>
    <w:rsid w:val="00265875"/>
    <w:rsid w:val="002761E4"/>
    <w:rsid w:val="002811A9"/>
    <w:rsid w:val="0028699F"/>
    <w:rsid w:val="00290F01"/>
    <w:rsid w:val="002A2ADB"/>
    <w:rsid w:val="002A5C45"/>
    <w:rsid w:val="002B2186"/>
    <w:rsid w:val="002B3648"/>
    <w:rsid w:val="002B7923"/>
    <w:rsid w:val="002D10D5"/>
    <w:rsid w:val="00301523"/>
    <w:rsid w:val="003147F4"/>
    <w:rsid w:val="00322588"/>
    <w:rsid w:val="00325FEE"/>
    <w:rsid w:val="003536FD"/>
    <w:rsid w:val="00376E79"/>
    <w:rsid w:val="00386BCB"/>
    <w:rsid w:val="00394E98"/>
    <w:rsid w:val="003A3DEF"/>
    <w:rsid w:val="003C6796"/>
    <w:rsid w:val="003E056C"/>
    <w:rsid w:val="003E3D9D"/>
    <w:rsid w:val="003F1C66"/>
    <w:rsid w:val="00403B3C"/>
    <w:rsid w:val="00404761"/>
    <w:rsid w:val="004539A6"/>
    <w:rsid w:val="00463644"/>
    <w:rsid w:val="00464B75"/>
    <w:rsid w:val="004659E8"/>
    <w:rsid w:val="00467666"/>
    <w:rsid w:val="0049740F"/>
    <w:rsid w:val="004D57A7"/>
    <w:rsid w:val="00511100"/>
    <w:rsid w:val="0052059A"/>
    <w:rsid w:val="00531DBD"/>
    <w:rsid w:val="00534FC5"/>
    <w:rsid w:val="0054208B"/>
    <w:rsid w:val="0054418F"/>
    <w:rsid w:val="005753E8"/>
    <w:rsid w:val="00580D8B"/>
    <w:rsid w:val="00586990"/>
    <w:rsid w:val="005A245F"/>
    <w:rsid w:val="005B3993"/>
    <w:rsid w:val="005B64D0"/>
    <w:rsid w:val="005E03FE"/>
    <w:rsid w:val="00616B3E"/>
    <w:rsid w:val="00623F13"/>
    <w:rsid w:val="00653078"/>
    <w:rsid w:val="00702D6D"/>
    <w:rsid w:val="007055DD"/>
    <w:rsid w:val="007451A8"/>
    <w:rsid w:val="00746F03"/>
    <w:rsid w:val="007761EF"/>
    <w:rsid w:val="00777CE7"/>
    <w:rsid w:val="007B3972"/>
    <w:rsid w:val="007D25CE"/>
    <w:rsid w:val="007D7618"/>
    <w:rsid w:val="007E2C3A"/>
    <w:rsid w:val="007F6EF4"/>
    <w:rsid w:val="00824EB8"/>
    <w:rsid w:val="00827D95"/>
    <w:rsid w:val="00834B62"/>
    <w:rsid w:val="00854E03"/>
    <w:rsid w:val="00855A3A"/>
    <w:rsid w:val="00855C5A"/>
    <w:rsid w:val="00865499"/>
    <w:rsid w:val="00874158"/>
    <w:rsid w:val="00882746"/>
    <w:rsid w:val="00884C6E"/>
    <w:rsid w:val="008D0022"/>
    <w:rsid w:val="008D744C"/>
    <w:rsid w:val="008E332C"/>
    <w:rsid w:val="008F244D"/>
    <w:rsid w:val="008F341E"/>
    <w:rsid w:val="00906571"/>
    <w:rsid w:val="009068B4"/>
    <w:rsid w:val="00915D31"/>
    <w:rsid w:val="009218D1"/>
    <w:rsid w:val="009222DD"/>
    <w:rsid w:val="00935B28"/>
    <w:rsid w:val="0093740E"/>
    <w:rsid w:val="00985F65"/>
    <w:rsid w:val="009A2953"/>
    <w:rsid w:val="00A06057"/>
    <w:rsid w:val="00A12605"/>
    <w:rsid w:val="00A1746A"/>
    <w:rsid w:val="00A317E5"/>
    <w:rsid w:val="00A37221"/>
    <w:rsid w:val="00A50BC2"/>
    <w:rsid w:val="00A71A1E"/>
    <w:rsid w:val="00A95AE2"/>
    <w:rsid w:val="00AA1C3A"/>
    <w:rsid w:val="00AA6405"/>
    <w:rsid w:val="00AE61D7"/>
    <w:rsid w:val="00B11FC5"/>
    <w:rsid w:val="00B12283"/>
    <w:rsid w:val="00B17145"/>
    <w:rsid w:val="00B41870"/>
    <w:rsid w:val="00B4440F"/>
    <w:rsid w:val="00B52805"/>
    <w:rsid w:val="00B974BE"/>
    <w:rsid w:val="00C02BD0"/>
    <w:rsid w:val="00C0330D"/>
    <w:rsid w:val="00C16AF6"/>
    <w:rsid w:val="00C27770"/>
    <w:rsid w:val="00C45EEA"/>
    <w:rsid w:val="00C47220"/>
    <w:rsid w:val="00C4767D"/>
    <w:rsid w:val="00C6383C"/>
    <w:rsid w:val="00C72E3F"/>
    <w:rsid w:val="00C82D03"/>
    <w:rsid w:val="00C94F1C"/>
    <w:rsid w:val="00CC422F"/>
    <w:rsid w:val="00CE0E2A"/>
    <w:rsid w:val="00D02AE2"/>
    <w:rsid w:val="00D05853"/>
    <w:rsid w:val="00D12800"/>
    <w:rsid w:val="00D409F7"/>
    <w:rsid w:val="00D51CF4"/>
    <w:rsid w:val="00D5324B"/>
    <w:rsid w:val="00D676EC"/>
    <w:rsid w:val="00D71521"/>
    <w:rsid w:val="00D9718D"/>
    <w:rsid w:val="00DA5566"/>
    <w:rsid w:val="00DC1490"/>
    <w:rsid w:val="00DE2553"/>
    <w:rsid w:val="00E45B47"/>
    <w:rsid w:val="00E4733B"/>
    <w:rsid w:val="00E51372"/>
    <w:rsid w:val="00E5605D"/>
    <w:rsid w:val="00E57FF5"/>
    <w:rsid w:val="00E74B6E"/>
    <w:rsid w:val="00E75A0C"/>
    <w:rsid w:val="00EC3631"/>
    <w:rsid w:val="00ED2119"/>
    <w:rsid w:val="00F01320"/>
    <w:rsid w:val="00F3242D"/>
    <w:rsid w:val="00F54C18"/>
    <w:rsid w:val="00F56AD2"/>
    <w:rsid w:val="00F63790"/>
    <w:rsid w:val="00F77BE3"/>
    <w:rsid w:val="00FB0A54"/>
    <w:rsid w:val="00FC63E8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CF62"/>
  <w15:chartTrackingRefBased/>
  <w15:docId w15:val="{31FC5772-2D33-4540-A71A-7245EB12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Standard">
    <w:name w:val="Test_Standard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F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F0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4418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17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74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74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7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4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4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ITZBund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Hellerforth, Paul (adesso)</dc:creator>
  <cp:keywords/>
  <dc:description/>
  <cp:lastModifiedBy>Weber, Christian (adesso)</cp:lastModifiedBy>
  <cp:revision>57</cp:revision>
  <dcterms:created xsi:type="dcterms:W3CDTF">2023-06-15T07:34:00Z</dcterms:created>
  <dcterms:modified xsi:type="dcterms:W3CDTF">2024-02-20T14:49:00Z</dcterms:modified>
</cp:coreProperties>
</file>